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BF" w:rsidRDefault="006536BF" w:rsidP="00ED5D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</w:t>
      </w:r>
    </w:p>
    <w:p w:rsidR="006536BF" w:rsidRPr="0036355E" w:rsidRDefault="006536BF" w:rsidP="00ED5D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36BF" w:rsidRDefault="006536BF" w:rsidP="00AA6B0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536BF" w:rsidRPr="00161E78" w:rsidRDefault="006536BF" w:rsidP="00AA6B0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536BF" w:rsidRPr="00161E78" w:rsidRDefault="006536BF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6BF" w:rsidRDefault="006536B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  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100</w:t>
      </w:r>
    </w:p>
    <w:p w:rsidR="006536BF" w:rsidRPr="00161E78" w:rsidRDefault="006536BF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536BF" w:rsidRPr="00161E78" w:rsidRDefault="006536BF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6536BF" w:rsidRDefault="006536BF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6536BF" w:rsidRDefault="006536BF" w:rsidP="006E5DDE">
      <w:pPr>
        <w:jc w:val="center"/>
        <w:rPr>
          <w:rFonts w:ascii="Times New Roman" w:hAnsi="Times New Roman" w:cs="Times New Roman"/>
        </w:rPr>
      </w:pPr>
    </w:p>
    <w:p w:rsidR="006536BF" w:rsidRDefault="006536BF" w:rsidP="00AA6B05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536BF" w:rsidRPr="009D58BB">
        <w:trPr>
          <w:trHeight w:val="1097"/>
        </w:trPr>
        <w:tc>
          <w:tcPr>
            <w:tcW w:w="9016" w:type="dxa"/>
          </w:tcPr>
          <w:p w:rsidR="006536BF" w:rsidRPr="009D58BB" w:rsidRDefault="006536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6536BF" w:rsidRDefault="006536BF" w:rsidP="00AA6B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36BF" w:rsidRPr="009D58BB" w:rsidRDefault="006536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536BF" w:rsidRPr="00DD5EF6" w:rsidRDefault="006536BF" w:rsidP="00270401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6536BF" w:rsidRPr="00DD5EF6" w:rsidRDefault="006536BF" w:rsidP="00270401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6536BF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6536BF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27 770 726,46 рублей;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28 647 100,00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6BF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391 600,00 рублей, в том числе:</w:t>
      </w:r>
    </w:p>
    <w:p w:rsidR="006536BF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190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C61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 в сумме 260 000,00 рублей,</w:t>
      </w:r>
    </w:p>
    <w:p w:rsidR="006536BF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120 000,00 рублей,</w:t>
      </w:r>
    </w:p>
    <w:p w:rsidR="006536BF" w:rsidRPr="00B51340" w:rsidRDefault="006536BF" w:rsidP="00270401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11 600,00 рублей.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391 600,00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</w:t>
      </w:r>
      <w:r>
        <w:rPr>
          <w:rFonts w:ascii="Times New Roman" w:hAnsi="Times New Roman" w:cs="Times New Roman"/>
          <w:sz w:val="28"/>
          <w:szCs w:val="28"/>
        </w:rPr>
        <w:t>160010240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A31EB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» в сумме 16 400,00 рублей на изготовление земельной документации,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3 800,00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помещения,</w:t>
      </w:r>
    </w:p>
    <w:p w:rsidR="006536BF" w:rsidRPr="0081422E" w:rsidRDefault="006536BF" w:rsidP="0027040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22E">
        <w:rPr>
          <w:rFonts w:ascii="Times New Roman" w:hAnsi="Times New Roman" w:cs="Times New Roman"/>
          <w:sz w:val="28"/>
          <w:szCs w:val="28"/>
        </w:rPr>
        <w:t xml:space="preserve">- по  коду раздела, подраздела 05 03 «Благоустройство»,  целевой статье   6800010320 «Прочие мероприятия по благоустройству городских округов и поселений» в сумме </w:t>
      </w:r>
      <w:r>
        <w:rPr>
          <w:rFonts w:ascii="Times New Roman" w:hAnsi="Times New Roman" w:cs="Times New Roman"/>
          <w:sz w:val="28"/>
          <w:szCs w:val="28"/>
        </w:rPr>
        <w:t>10 800</w:t>
      </w:r>
      <w:r w:rsidRPr="0081422E">
        <w:rPr>
          <w:rFonts w:ascii="Times New Roman" w:hAnsi="Times New Roman" w:cs="Times New Roman"/>
          <w:sz w:val="28"/>
          <w:szCs w:val="28"/>
        </w:rPr>
        <w:t>,00 рублей на содержание трактора,</w:t>
      </w:r>
    </w:p>
    <w:p w:rsidR="006536BF" w:rsidRDefault="006536BF" w:rsidP="00270401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323 700,00 рублей на заработную плату и материальные затраты, 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36 900,00 рублей на заработную плату.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Уменьшить ассигнования в сумме 64 100,00 рублей, в том числе предусмотренные: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02 «</w:t>
      </w:r>
      <w:r w:rsidRPr="006E6C97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E6C97">
        <w:rPr>
          <w:rFonts w:ascii="Times New Roman" w:hAnsi="Times New Roman" w:cs="Times New Roman"/>
          <w:sz w:val="28"/>
          <w:szCs w:val="28"/>
        </w:rPr>
        <w:t>5010000190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C9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12 000,00 рублей,</w:t>
      </w:r>
    </w:p>
    <w:p w:rsidR="006536BF" w:rsidRPr="00F006F8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200,00 рублей,</w:t>
      </w:r>
    </w:p>
    <w:p w:rsidR="006536BF" w:rsidRDefault="006536BF" w:rsidP="00270401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01 13 «Другие общегосударственные вопросы»,  целевой статье   </w:t>
      </w:r>
      <w:r w:rsidRPr="006E6C97">
        <w:rPr>
          <w:rFonts w:ascii="Times New Roman" w:hAnsi="Times New Roman" w:cs="Times New Roman"/>
          <w:sz w:val="28"/>
          <w:szCs w:val="28"/>
        </w:rPr>
        <w:t>5600025010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6E6C97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E028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500 в сумме 2 000,00 рублей в связи с не заключенными соглашениями:</w:t>
      </w:r>
    </w:p>
    <w:p w:rsidR="006536BF" w:rsidRDefault="006536BF" w:rsidP="00270401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536BF" w:rsidRPr="00A95D0E" w:rsidRDefault="006536BF" w:rsidP="00270401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95D0E">
        <w:rPr>
          <w:rFonts w:ascii="Times New Roman" w:hAnsi="Times New Roman" w:cs="Times New Roman"/>
          <w:sz w:val="28"/>
          <w:szCs w:val="28"/>
        </w:rPr>
        <w:t>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20.02.2016г.,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34 000,00 рублей,</w:t>
      </w:r>
    </w:p>
    <w:p w:rsidR="006536BF" w:rsidRDefault="006536BF" w:rsidP="00270401">
      <w:pPr>
        <w:pStyle w:val="ConsPlusNormal"/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07 07 «</w:t>
      </w:r>
      <w:r w:rsidRPr="006F5564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       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5320010350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10 000,00 рублей,</w:t>
      </w:r>
    </w:p>
    <w:p w:rsidR="006536BF" w:rsidRDefault="006536BF" w:rsidP="0027040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5 000,00 рублей, виду расходов 800 в сумме 900,00 рублей.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Увеличить ассигнования в сумме 64 100,00 рублей, в том числе предусмотренные:</w:t>
      </w:r>
    </w:p>
    <w:p w:rsidR="006536BF" w:rsidRDefault="006536BF" w:rsidP="00270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7 100,00 рублей, виду расходов 200 в сумме 4 900 рублей на материальные затраты,</w:t>
      </w:r>
    </w:p>
    <w:p w:rsidR="006536BF" w:rsidRDefault="006536BF" w:rsidP="00270401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800 в сумме 1000,00 рублей на оплату штрафа,</w:t>
      </w:r>
    </w:p>
    <w:p w:rsidR="006536BF" w:rsidRDefault="006536BF" w:rsidP="00270401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34 000,00 рублей на материальные затраты,</w:t>
      </w:r>
    </w:p>
    <w:p w:rsidR="006536BF" w:rsidRDefault="006536BF" w:rsidP="0027040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5 900,00 рублей</w:t>
      </w:r>
      <w:r w:rsidRPr="00C106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материальные затраты,</w:t>
      </w:r>
    </w:p>
    <w:p w:rsidR="006536BF" w:rsidRDefault="006536BF" w:rsidP="00270401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11 200,00 рублей на заработную плату.</w:t>
      </w:r>
    </w:p>
    <w:p w:rsidR="006536BF" w:rsidRDefault="006536BF" w:rsidP="00270401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Закрыть средства резервного фонда в сумме 5 000,00 рублей.</w:t>
      </w:r>
    </w:p>
    <w:p w:rsidR="006536BF" w:rsidRDefault="006536BF" w:rsidP="00270401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Высвободившиеся ассигнования направить:</w:t>
      </w:r>
    </w:p>
    <w:p w:rsidR="006536BF" w:rsidRDefault="006536BF" w:rsidP="00270401">
      <w:pPr>
        <w:widowControl w:val="0"/>
        <w:tabs>
          <w:tab w:val="left" w:pos="-5103"/>
          <w:tab w:val="left" w:pos="0"/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3 400,00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536BF" w:rsidRPr="00445A46" w:rsidRDefault="006536BF" w:rsidP="00270401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065DB0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1 600,00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компенсационные выплаты.</w:t>
      </w:r>
    </w:p>
    <w:p w:rsidR="006536BF" w:rsidRDefault="006536BF" w:rsidP="0027040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Внести соответствующие изменения  в приложения № 2,4-6, изложив их в новой редакции (приложения № 1,2,3,4).</w:t>
      </w:r>
    </w:p>
    <w:p w:rsidR="006536BF" w:rsidRDefault="006536BF" w:rsidP="00270401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в установленном порядке.</w:t>
      </w:r>
    </w:p>
    <w:p w:rsidR="006536BF" w:rsidRDefault="006536BF" w:rsidP="00270401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решение вступает в силу со дня его опубликования.</w:t>
      </w:r>
    </w:p>
    <w:p w:rsidR="006536BF" w:rsidRDefault="006536BF" w:rsidP="004D2DE7">
      <w:pPr>
        <w:rPr>
          <w:rFonts w:ascii="Times New Roman" w:hAnsi="Times New Roman" w:cs="Times New Roman"/>
          <w:sz w:val="28"/>
          <w:szCs w:val="28"/>
        </w:rPr>
      </w:pPr>
    </w:p>
    <w:p w:rsidR="006536BF" w:rsidRDefault="006536BF" w:rsidP="004D2DE7">
      <w:pPr>
        <w:rPr>
          <w:rFonts w:ascii="Times New Roman" w:hAnsi="Times New Roman" w:cs="Times New Roman"/>
          <w:sz w:val="28"/>
          <w:szCs w:val="28"/>
        </w:rPr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left" w:pos="522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Председатель Совета</w:t>
      </w: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Школьненского сельского поселения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Белореченского района</w:t>
      </w:r>
    </w:p>
    <w:p w:rsidR="006536BF" w:rsidRDefault="006536BF" w:rsidP="004D2DE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В.Н.Лантратов                                           Н.В.Лавриненко                      </w:t>
      </w:r>
    </w:p>
    <w:p w:rsidR="006536BF" w:rsidRDefault="006536BF" w:rsidP="004D2DE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ED5DA5">
      <w:pPr>
        <w:pageBreakBefore/>
        <w:ind w:right="-2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ЛИСТ СОГЛАСОВАНИЯ</w:t>
      </w:r>
    </w:p>
    <w:p w:rsidR="006536BF" w:rsidRDefault="006536BF" w:rsidP="00ED5DA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 Школьненского сельского поселения</w:t>
      </w:r>
    </w:p>
    <w:p w:rsidR="006536BF" w:rsidRDefault="006536BF" w:rsidP="00ED5DA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6536BF" w:rsidRDefault="006536BF" w:rsidP="00ED5DA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19 декабря 2016 года № 100</w:t>
      </w:r>
    </w:p>
    <w:p w:rsidR="006536BF" w:rsidRDefault="006536BF" w:rsidP="00ED5DA5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36BF" w:rsidRDefault="006536BF" w:rsidP="00ED5D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21 декабря 2015  года №69 “О бюджете Школьненского сельского поселения Белореченского района на 2016 год”</w:t>
      </w:r>
    </w:p>
    <w:p w:rsidR="006536BF" w:rsidRDefault="006536BF" w:rsidP="00ED5D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36BF" w:rsidRDefault="006536BF" w:rsidP="00ED5DA5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6536BF" w:rsidRDefault="006536BF" w:rsidP="00ED5DA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36BF" w:rsidRDefault="006536BF" w:rsidP="00ED5DA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36BF" w:rsidRDefault="006536BF" w:rsidP="00ED5DA5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Ind w:w="-106" w:type="dxa"/>
        <w:tblLayout w:type="fixed"/>
        <w:tblLook w:val="00A0"/>
      </w:tblPr>
      <w:tblGrid>
        <w:gridCol w:w="4908"/>
        <w:gridCol w:w="1860"/>
        <w:gridCol w:w="3060"/>
        <w:gridCol w:w="2619"/>
      </w:tblGrid>
      <w:tr w:rsidR="006536BF">
        <w:trPr>
          <w:cantSplit/>
          <w:trHeight w:val="349"/>
        </w:trPr>
        <w:tc>
          <w:tcPr>
            <w:tcW w:w="4908" w:type="dxa"/>
            <w:vMerge w:val="restart"/>
          </w:tcPr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Школьненского сельского поселения Белореченского района       </w:t>
            </w: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Школьненского сельского поселения Белореченского района                                                                                                                        </w:t>
            </w: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  <w:p w:rsidR="006536BF" w:rsidRDefault="006536BF" w:rsidP="00B10393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1860" w:type="dxa"/>
          </w:tcPr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gridSpan w:val="2"/>
            <w:vAlign w:val="bottom"/>
          </w:tcPr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6536BF">
        <w:trPr>
          <w:gridAfter w:val="1"/>
          <w:wAfter w:w="2619" w:type="dxa"/>
          <w:cantSplit/>
          <w:trHeight w:val="3055"/>
        </w:trPr>
        <w:tc>
          <w:tcPr>
            <w:tcW w:w="4908" w:type="dxa"/>
            <w:vMerge/>
            <w:vAlign w:val="center"/>
          </w:tcPr>
          <w:p w:rsidR="006536BF" w:rsidRDefault="006536BF" w:rsidP="00B10393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2"/>
          </w:tcPr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Е.В.Леник</w:t>
            </w: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В.Г.Попков</w:t>
            </w: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Г.В.Войченко</w:t>
            </w: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536BF" w:rsidRDefault="006536BF" w:rsidP="00B10393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536BF" w:rsidRDefault="006536BF" w:rsidP="00ED5DA5">
      <w:pPr>
        <w:widowControl w:val="0"/>
        <w:tabs>
          <w:tab w:val="right" w:pos="9498"/>
        </w:tabs>
        <w:rPr>
          <w:lang w:eastAsia="ru-RU"/>
        </w:rPr>
      </w:pPr>
    </w:p>
    <w:p w:rsidR="006536BF" w:rsidRDefault="006536BF" w:rsidP="00ED5DA5">
      <w:pPr>
        <w:tabs>
          <w:tab w:val="left" w:pos="0"/>
          <w:tab w:val="left" w:pos="900"/>
        </w:tabs>
      </w:pPr>
    </w:p>
    <w:p w:rsidR="006536BF" w:rsidRDefault="006536BF" w:rsidP="00ED5DA5">
      <w:pPr>
        <w:tabs>
          <w:tab w:val="left" w:pos="900"/>
        </w:tabs>
        <w:rPr>
          <w:sz w:val="28"/>
          <w:szCs w:val="28"/>
        </w:rPr>
      </w:pPr>
    </w:p>
    <w:p w:rsidR="006536BF" w:rsidRDefault="006536BF" w:rsidP="00ED5DA5">
      <w:pPr>
        <w:tabs>
          <w:tab w:val="left" w:pos="0"/>
          <w:tab w:val="left" w:pos="900"/>
        </w:tabs>
      </w:pPr>
    </w:p>
    <w:p w:rsidR="006536BF" w:rsidRDefault="006536BF" w:rsidP="00ED5DA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p w:rsidR="006536BF" w:rsidRDefault="006536BF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sectPr w:rsidR="006536BF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6BF" w:rsidRDefault="006536BF" w:rsidP="00B57B3B">
      <w:r>
        <w:separator/>
      </w:r>
    </w:p>
  </w:endnote>
  <w:endnote w:type="continuationSeparator" w:id="0">
    <w:p w:rsidR="006536BF" w:rsidRDefault="006536B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6BF" w:rsidRDefault="006536BF" w:rsidP="00B57B3B">
      <w:r>
        <w:separator/>
      </w:r>
    </w:p>
  </w:footnote>
  <w:footnote w:type="continuationSeparator" w:id="0">
    <w:p w:rsidR="006536BF" w:rsidRDefault="006536B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6BF" w:rsidRPr="003139BC" w:rsidRDefault="006536BF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536BF" w:rsidRDefault="006536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65DB0"/>
    <w:rsid w:val="000745B1"/>
    <w:rsid w:val="000775A2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04E89"/>
    <w:rsid w:val="00111AC0"/>
    <w:rsid w:val="00115181"/>
    <w:rsid w:val="00115322"/>
    <w:rsid w:val="001177DA"/>
    <w:rsid w:val="00121EF8"/>
    <w:rsid w:val="00122F78"/>
    <w:rsid w:val="00125128"/>
    <w:rsid w:val="00126D0D"/>
    <w:rsid w:val="0012744A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4BB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0401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1EB2"/>
    <w:rsid w:val="003139BC"/>
    <w:rsid w:val="003153D4"/>
    <w:rsid w:val="00315D3B"/>
    <w:rsid w:val="00316749"/>
    <w:rsid w:val="00321CF9"/>
    <w:rsid w:val="00323DB6"/>
    <w:rsid w:val="00326F5E"/>
    <w:rsid w:val="00327591"/>
    <w:rsid w:val="003372C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2DE7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36BF"/>
    <w:rsid w:val="00654C50"/>
    <w:rsid w:val="006602EC"/>
    <w:rsid w:val="00663EEA"/>
    <w:rsid w:val="00665A87"/>
    <w:rsid w:val="00666779"/>
    <w:rsid w:val="006719EC"/>
    <w:rsid w:val="00674EED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972EC"/>
    <w:rsid w:val="007A1FD1"/>
    <w:rsid w:val="007A6B19"/>
    <w:rsid w:val="007B68AC"/>
    <w:rsid w:val="007C0ACC"/>
    <w:rsid w:val="007D4A9A"/>
    <w:rsid w:val="007D4BCC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DCC"/>
    <w:rsid w:val="00897E7A"/>
    <w:rsid w:val="008A0B89"/>
    <w:rsid w:val="008A4D2D"/>
    <w:rsid w:val="008B4059"/>
    <w:rsid w:val="008B5349"/>
    <w:rsid w:val="008B6240"/>
    <w:rsid w:val="008B76CE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270EC"/>
    <w:rsid w:val="009307A5"/>
    <w:rsid w:val="009309B9"/>
    <w:rsid w:val="0093116D"/>
    <w:rsid w:val="009319DB"/>
    <w:rsid w:val="0093387D"/>
    <w:rsid w:val="00937EEC"/>
    <w:rsid w:val="00941035"/>
    <w:rsid w:val="00942409"/>
    <w:rsid w:val="00945017"/>
    <w:rsid w:val="00950B72"/>
    <w:rsid w:val="00952021"/>
    <w:rsid w:val="00957CB9"/>
    <w:rsid w:val="0096372D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11EB"/>
    <w:rsid w:val="009E52A0"/>
    <w:rsid w:val="009E53F2"/>
    <w:rsid w:val="009E6447"/>
    <w:rsid w:val="009E69D6"/>
    <w:rsid w:val="009E7861"/>
    <w:rsid w:val="00A028CD"/>
    <w:rsid w:val="00A14C04"/>
    <w:rsid w:val="00A16528"/>
    <w:rsid w:val="00A22233"/>
    <w:rsid w:val="00A224F0"/>
    <w:rsid w:val="00A31EB4"/>
    <w:rsid w:val="00A33813"/>
    <w:rsid w:val="00A408B0"/>
    <w:rsid w:val="00A4200A"/>
    <w:rsid w:val="00A45084"/>
    <w:rsid w:val="00A5653B"/>
    <w:rsid w:val="00A5786A"/>
    <w:rsid w:val="00A60D9F"/>
    <w:rsid w:val="00A65FE7"/>
    <w:rsid w:val="00A674A9"/>
    <w:rsid w:val="00A72975"/>
    <w:rsid w:val="00A75BB5"/>
    <w:rsid w:val="00A850DC"/>
    <w:rsid w:val="00A927CD"/>
    <w:rsid w:val="00A95D0E"/>
    <w:rsid w:val="00A969F6"/>
    <w:rsid w:val="00AA6B05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393"/>
    <w:rsid w:val="00B104D1"/>
    <w:rsid w:val="00B13DE0"/>
    <w:rsid w:val="00B1650C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6D0"/>
    <w:rsid w:val="00B57B3B"/>
    <w:rsid w:val="00B644DA"/>
    <w:rsid w:val="00B66A98"/>
    <w:rsid w:val="00B6740D"/>
    <w:rsid w:val="00B82371"/>
    <w:rsid w:val="00B82B12"/>
    <w:rsid w:val="00B839C1"/>
    <w:rsid w:val="00B92C9F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210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67BF3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37D"/>
    <w:rsid w:val="00DF1922"/>
    <w:rsid w:val="00DF4B9E"/>
    <w:rsid w:val="00DF61AC"/>
    <w:rsid w:val="00E00097"/>
    <w:rsid w:val="00E0254A"/>
    <w:rsid w:val="00E028DA"/>
    <w:rsid w:val="00E04B88"/>
    <w:rsid w:val="00E0550D"/>
    <w:rsid w:val="00E1238C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44DD2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3DDA"/>
    <w:rsid w:val="00ED4917"/>
    <w:rsid w:val="00ED5DA5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884"/>
    <w:rsid w:val="00F47A9E"/>
    <w:rsid w:val="00F516A6"/>
    <w:rsid w:val="00F54AEC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1239</TotalTime>
  <Pages>5</Pages>
  <Words>1544</Words>
  <Characters>8804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62</cp:revision>
  <cp:lastPrinted>2016-12-20T07:46:00Z</cp:lastPrinted>
  <dcterms:created xsi:type="dcterms:W3CDTF">2015-01-21T15:24:00Z</dcterms:created>
  <dcterms:modified xsi:type="dcterms:W3CDTF">2016-12-20T07:47:00Z</dcterms:modified>
</cp:coreProperties>
</file>